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803A" w14:textId="77777777" w:rsidR="00E03850" w:rsidRPr="008B48D6" w:rsidRDefault="008B48D6" w:rsidP="00E1652B">
      <w:pPr>
        <w:jc w:val="center"/>
        <w:rPr>
          <w:b/>
          <w:lang w:val="en-US"/>
        </w:rPr>
      </w:pPr>
      <w:r w:rsidRPr="008B48D6">
        <w:rPr>
          <w:b/>
          <w:lang w:val="en-US"/>
        </w:rPr>
        <w:t>NOTICE OF MOTION</w:t>
      </w:r>
      <w:r w:rsidR="00FF6B75">
        <w:rPr>
          <w:b/>
          <w:lang w:val="en-US"/>
        </w:rPr>
        <w:t xml:space="preserve"> - Assessment</w:t>
      </w:r>
    </w:p>
    <w:p w14:paraId="1875248A" w14:textId="77777777" w:rsidR="008B48D6" w:rsidRDefault="008B48D6">
      <w:pPr>
        <w:rPr>
          <w:lang w:val="en-US"/>
        </w:rPr>
      </w:pP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2263"/>
        <w:gridCol w:w="7229"/>
      </w:tblGrid>
      <w:tr w:rsidR="008B48D6" w14:paraId="01410964" w14:textId="77777777" w:rsidTr="008B48D6">
        <w:tc>
          <w:tcPr>
            <w:tcW w:w="2263" w:type="dxa"/>
          </w:tcPr>
          <w:p w14:paraId="61077229" w14:textId="77777777" w:rsidR="008B48D6" w:rsidRPr="003A6076" w:rsidRDefault="008B48D6" w:rsidP="00B67307">
            <w:pPr>
              <w:rPr>
                <w:b/>
                <w:lang w:val="en-US"/>
              </w:rPr>
            </w:pPr>
            <w:r w:rsidRPr="003A6076">
              <w:rPr>
                <w:b/>
                <w:lang w:val="en-US"/>
              </w:rPr>
              <w:t xml:space="preserve">Date </w:t>
            </w:r>
            <w:r w:rsidR="00B67307">
              <w:rPr>
                <w:b/>
                <w:lang w:val="en-US"/>
              </w:rPr>
              <w:t>raised</w:t>
            </w:r>
            <w:r w:rsidR="003A6076">
              <w:rPr>
                <w:b/>
                <w:lang w:val="en-US"/>
              </w:rPr>
              <w:t>:</w:t>
            </w:r>
          </w:p>
        </w:tc>
        <w:tc>
          <w:tcPr>
            <w:tcW w:w="7229" w:type="dxa"/>
          </w:tcPr>
          <w:p w14:paraId="75B3794A" w14:textId="0379DF52" w:rsidR="008B48D6" w:rsidRDefault="002B265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F58AC">
              <w:rPr>
                <w:lang w:val="en-US"/>
              </w:rPr>
              <w:t>6</w:t>
            </w:r>
            <w:r>
              <w:rPr>
                <w:lang w:val="en-US"/>
              </w:rPr>
              <w:t xml:space="preserve"> July 2024</w:t>
            </w:r>
          </w:p>
        </w:tc>
      </w:tr>
      <w:tr w:rsidR="008B48D6" w14:paraId="2390D616" w14:textId="77777777" w:rsidTr="008B48D6">
        <w:tc>
          <w:tcPr>
            <w:tcW w:w="2263" w:type="dxa"/>
          </w:tcPr>
          <w:p w14:paraId="3711FE65" w14:textId="77777777" w:rsidR="008B48D6" w:rsidRPr="003A6076" w:rsidRDefault="008B48D6" w:rsidP="004B53F4">
            <w:pPr>
              <w:rPr>
                <w:b/>
                <w:lang w:val="en-US"/>
              </w:rPr>
            </w:pPr>
            <w:r w:rsidRPr="003A6076">
              <w:rPr>
                <w:b/>
                <w:lang w:val="en-US"/>
              </w:rPr>
              <w:t>Raised by:</w:t>
            </w:r>
            <w:r w:rsidR="00E1652B">
              <w:rPr>
                <w:b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485943F4" w14:textId="15A9548D" w:rsidR="008B48D6" w:rsidRDefault="00FF6B75">
            <w:pPr>
              <w:rPr>
                <w:lang w:val="en-US"/>
              </w:rPr>
            </w:pPr>
            <w:r>
              <w:rPr>
                <w:lang w:val="en-US"/>
              </w:rPr>
              <w:t xml:space="preserve">Cr </w:t>
            </w:r>
            <w:r w:rsidR="008F58AC">
              <w:rPr>
                <w:lang w:val="en-US"/>
              </w:rPr>
              <w:t>Lani Kereopa</w:t>
            </w:r>
          </w:p>
        </w:tc>
      </w:tr>
      <w:tr w:rsidR="00B67307" w14:paraId="668442C3" w14:textId="77777777" w:rsidTr="008B48D6">
        <w:tc>
          <w:tcPr>
            <w:tcW w:w="2263" w:type="dxa"/>
          </w:tcPr>
          <w:p w14:paraId="0671D9CB" w14:textId="77777777" w:rsidR="00B67307" w:rsidRPr="003A6076" w:rsidRDefault="00B6730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 of Motion:</w:t>
            </w:r>
          </w:p>
        </w:tc>
        <w:tc>
          <w:tcPr>
            <w:tcW w:w="7229" w:type="dxa"/>
          </w:tcPr>
          <w:p w14:paraId="58BD0561" w14:textId="77777777" w:rsidR="00B67307" w:rsidRDefault="00FF6B75" w:rsidP="00E1652B">
            <w:pPr>
              <w:rPr>
                <w:lang w:val="en-US"/>
              </w:rPr>
            </w:pPr>
            <w:r>
              <w:rPr>
                <w:lang w:val="en-US"/>
              </w:rPr>
              <w:t>Notice of Motion  - SO 27</w:t>
            </w:r>
          </w:p>
        </w:tc>
      </w:tr>
      <w:tr w:rsidR="008B48D6" w14:paraId="569FE3AC" w14:textId="77777777" w:rsidTr="008B48D6">
        <w:tc>
          <w:tcPr>
            <w:tcW w:w="2263" w:type="dxa"/>
          </w:tcPr>
          <w:p w14:paraId="7B021B96" w14:textId="77777777" w:rsidR="008B48D6" w:rsidRPr="003A6076" w:rsidRDefault="00E1652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Reason for raising </w:t>
            </w:r>
            <w:r w:rsidR="008B48D6" w:rsidRPr="003A6076">
              <w:rPr>
                <w:b/>
                <w:lang w:val="en-US"/>
              </w:rPr>
              <w:t>Motion:</w:t>
            </w:r>
          </w:p>
        </w:tc>
        <w:tc>
          <w:tcPr>
            <w:tcW w:w="7229" w:type="dxa"/>
          </w:tcPr>
          <w:p w14:paraId="32287F14" w14:textId="79AC7551" w:rsidR="004B53F4" w:rsidRDefault="002B2657" w:rsidP="002B2657">
            <w:pPr>
              <w:ind w:left="36" w:right="3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Notice of Motion seeks that the </w:t>
            </w:r>
            <w:r w:rsidR="008F58AC">
              <w:rPr>
                <w:lang w:val="en-US"/>
              </w:rPr>
              <w:t>Council call for a ceasefire in Gaza.</w:t>
            </w:r>
          </w:p>
        </w:tc>
      </w:tr>
      <w:tr w:rsidR="00E213A8" w14:paraId="1E698C50" w14:textId="77777777" w:rsidTr="008B48D6">
        <w:tc>
          <w:tcPr>
            <w:tcW w:w="2263" w:type="dxa"/>
          </w:tcPr>
          <w:p w14:paraId="4EEE25A2" w14:textId="77777777" w:rsidR="00FF6B75" w:rsidRDefault="00E213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 Motion</w:t>
            </w:r>
          </w:p>
          <w:p w14:paraId="2126A420" w14:textId="77777777" w:rsidR="00FF6B75" w:rsidRDefault="00FF6B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Or </w:t>
            </w:r>
          </w:p>
          <w:p w14:paraId="62732528" w14:textId="77777777" w:rsidR="00E213A8" w:rsidRPr="003A6076" w:rsidRDefault="00FF6B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New Motion </w:t>
            </w:r>
            <w:r w:rsidR="00E213A8">
              <w:rPr>
                <w:b/>
                <w:lang w:val="en-US"/>
              </w:rPr>
              <w:t xml:space="preserve"> to replace old resolution (if any)</w:t>
            </w:r>
          </w:p>
        </w:tc>
        <w:tc>
          <w:tcPr>
            <w:tcW w:w="7229" w:type="dxa"/>
          </w:tcPr>
          <w:p w14:paraId="76655EF2" w14:textId="6A4E6ADF" w:rsidR="004B53F4" w:rsidRDefault="002B2657" w:rsidP="008B48D6">
            <w:pPr>
              <w:ind w:left="36" w:right="320"/>
              <w:jc w:val="both"/>
            </w:pPr>
            <w:r>
              <w:t>Motion as presented</w:t>
            </w:r>
          </w:p>
          <w:p w14:paraId="57604FD8" w14:textId="77777777" w:rsidR="008F58AC" w:rsidRDefault="008F58AC" w:rsidP="008F58AC">
            <w:pPr>
              <w:ind w:right="320"/>
              <w:jc w:val="both"/>
            </w:pPr>
            <w:r>
              <w:t xml:space="preserve"> That Rotorua Lakes Council </w:t>
            </w:r>
          </w:p>
          <w:p w14:paraId="593C8B0C" w14:textId="77777777" w:rsidR="008F58AC" w:rsidRDefault="008F58AC" w:rsidP="008F58AC">
            <w:pPr>
              <w:ind w:right="320"/>
              <w:jc w:val="both"/>
            </w:pPr>
            <w:r>
              <w:t>(a) calls to all parties in the conflict for an immediate and permanent ceasefire in Gaza;</w:t>
            </w:r>
          </w:p>
          <w:p w14:paraId="170C7102" w14:textId="77777777" w:rsidR="008F58AC" w:rsidRDefault="008F58AC" w:rsidP="008F58AC">
            <w:pPr>
              <w:ind w:right="320"/>
              <w:jc w:val="both"/>
            </w:pPr>
            <w:r>
              <w:t>(b) calls on the Government of New Zealand to call for all parties in the conflict for an immediate and permanent ceasefire in Gaza,</w:t>
            </w:r>
          </w:p>
          <w:p w14:paraId="6AA6DC97" w14:textId="535824A7" w:rsidR="00E213A8" w:rsidRDefault="008F58AC" w:rsidP="008F58AC">
            <w:pPr>
              <w:ind w:right="320"/>
              <w:jc w:val="both"/>
              <w:rPr>
                <w:lang w:val="en-US"/>
              </w:rPr>
            </w:pPr>
            <w:r>
              <w:t xml:space="preserve">(c) condemns all acts of violence and terror against civilians and for a release of all hostages on all sides in the Palestinian and Israeli conflict. </w:t>
            </w:r>
          </w:p>
        </w:tc>
      </w:tr>
      <w:tr w:rsidR="008B48D6" w14:paraId="63DDF2D3" w14:textId="77777777" w:rsidTr="008B48D6">
        <w:tc>
          <w:tcPr>
            <w:tcW w:w="2263" w:type="dxa"/>
          </w:tcPr>
          <w:p w14:paraId="52388B6A" w14:textId="77777777" w:rsidR="008B48D6" w:rsidRPr="003A6076" w:rsidRDefault="008B48D6">
            <w:pPr>
              <w:rPr>
                <w:b/>
                <w:lang w:val="en-US"/>
              </w:rPr>
            </w:pPr>
            <w:r w:rsidRPr="003A6076">
              <w:rPr>
                <w:b/>
                <w:lang w:val="en-US"/>
              </w:rPr>
              <w:t>Council/committee</w:t>
            </w:r>
            <w:r w:rsidR="00B67307">
              <w:rPr>
                <w:b/>
                <w:lang w:val="en-US"/>
              </w:rPr>
              <w:t xml:space="preserve"> that motion is to be brought</w:t>
            </w:r>
          </w:p>
        </w:tc>
        <w:tc>
          <w:tcPr>
            <w:tcW w:w="7229" w:type="dxa"/>
          </w:tcPr>
          <w:p w14:paraId="5E493DBE" w14:textId="3B678983" w:rsidR="008B48D6" w:rsidRDefault="008F58AC" w:rsidP="002B2657">
            <w:pPr>
              <w:ind w:right="320"/>
              <w:jc w:val="both"/>
              <w:rPr>
                <w:lang w:val="en-US"/>
              </w:rPr>
            </w:pPr>
            <w:r>
              <w:rPr>
                <w:lang w:val="en-US"/>
              </w:rPr>
              <w:t>24 July 2024</w:t>
            </w:r>
          </w:p>
          <w:p w14:paraId="3AD292DE" w14:textId="77777777" w:rsidR="008B48D6" w:rsidRDefault="008B48D6" w:rsidP="008B48D6">
            <w:pPr>
              <w:ind w:left="36" w:right="320"/>
              <w:jc w:val="both"/>
              <w:rPr>
                <w:lang w:val="en-US"/>
              </w:rPr>
            </w:pPr>
          </w:p>
          <w:p w14:paraId="3B591741" w14:textId="77777777" w:rsidR="008B48D6" w:rsidRDefault="008B48D6" w:rsidP="008B48D6">
            <w:pPr>
              <w:ind w:left="36" w:right="320"/>
              <w:jc w:val="both"/>
              <w:rPr>
                <w:lang w:val="en-US"/>
              </w:rPr>
            </w:pPr>
          </w:p>
        </w:tc>
      </w:tr>
      <w:tr w:rsidR="00513113" w14:paraId="050728E2" w14:textId="77777777" w:rsidTr="008B48D6">
        <w:tc>
          <w:tcPr>
            <w:tcW w:w="2263" w:type="dxa"/>
          </w:tcPr>
          <w:p w14:paraId="54B97D2A" w14:textId="77777777" w:rsidR="00513113" w:rsidRPr="003A6076" w:rsidRDefault="00513113">
            <w:pPr>
              <w:rPr>
                <w:b/>
                <w:lang w:val="en-US"/>
              </w:rPr>
            </w:pPr>
          </w:p>
        </w:tc>
        <w:tc>
          <w:tcPr>
            <w:tcW w:w="7229" w:type="dxa"/>
          </w:tcPr>
          <w:p w14:paraId="6B039F67" w14:textId="77777777" w:rsidR="00513113" w:rsidRPr="008B48D6" w:rsidRDefault="00E1652B" w:rsidP="008B48D6">
            <w:pPr>
              <w:ind w:left="36" w:right="32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Governance</w:t>
            </w:r>
            <w:r w:rsidR="004B53F4">
              <w:rPr>
                <w:b/>
                <w:lang w:val="en-US"/>
              </w:rPr>
              <w:t xml:space="preserve"> and Democracy </w:t>
            </w:r>
            <w:r w:rsidR="00513113">
              <w:rPr>
                <w:b/>
                <w:lang w:val="en-US"/>
              </w:rPr>
              <w:t xml:space="preserve"> Assessment</w:t>
            </w:r>
          </w:p>
        </w:tc>
      </w:tr>
      <w:tr w:rsidR="00E213A8" w14:paraId="7D70203C" w14:textId="77777777" w:rsidTr="008B48D6">
        <w:tc>
          <w:tcPr>
            <w:tcW w:w="2263" w:type="dxa"/>
          </w:tcPr>
          <w:p w14:paraId="7EB82051" w14:textId="77777777" w:rsidR="00E213A8" w:rsidRPr="003A6076" w:rsidRDefault="00E213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Sufficient notice given – 5</w:t>
            </w:r>
            <w:r w:rsidR="00E1652B">
              <w:rPr>
                <w:b/>
                <w:lang w:val="en-US"/>
              </w:rPr>
              <w:t xml:space="preserve"> clear</w:t>
            </w:r>
            <w:r>
              <w:rPr>
                <w:b/>
                <w:lang w:val="en-US"/>
              </w:rPr>
              <w:t xml:space="preserve"> working days?</w:t>
            </w:r>
          </w:p>
        </w:tc>
        <w:tc>
          <w:tcPr>
            <w:tcW w:w="7229" w:type="dxa"/>
          </w:tcPr>
          <w:p w14:paraId="78BCC8CC" w14:textId="71BBB752" w:rsidR="00E213A8" w:rsidRPr="00E213A8" w:rsidRDefault="008F58AC" w:rsidP="008B48D6">
            <w:pPr>
              <w:ind w:left="36" w:right="3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Yes – received </w:t>
            </w:r>
            <w:r w:rsidR="002B2657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="002B2657">
              <w:rPr>
                <w:lang w:val="en-US"/>
              </w:rPr>
              <w:t xml:space="preserve"> July 2024</w:t>
            </w:r>
          </w:p>
        </w:tc>
      </w:tr>
      <w:tr w:rsidR="00E213A8" w14:paraId="3969225D" w14:textId="77777777" w:rsidTr="008B48D6">
        <w:tc>
          <w:tcPr>
            <w:tcW w:w="2263" w:type="dxa"/>
          </w:tcPr>
          <w:p w14:paraId="51918DD0" w14:textId="77777777" w:rsidR="00E213A8" w:rsidRPr="003A6076" w:rsidRDefault="00E213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Standing order appropriate</w:t>
            </w:r>
            <w:r w:rsidR="00E1652B">
              <w:rPr>
                <w:b/>
                <w:lang w:val="en-US"/>
              </w:rPr>
              <w:t>?</w:t>
            </w:r>
          </w:p>
        </w:tc>
        <w:tc>
          <w:tcPr>
            <w:tcW w:w="7229" w:type="dxa"/>
          </w:tcPr>
          <w:p w14:paraId="2FEE9417" w14:textId="77777777" w:rsidR="00E213A8" w:rsidRDefault="002B2657" w:rsidP="008B48D6">
            <w:pPr>
              <w:ind w:left="36" w:right="3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="005E33BB">
              <w:rPr>
                <w:lang w:val="en-US"/>
              </w:rPr>
              <w:t>.</w:t>
            </w:r>
          </w:p>
          <w:p w14:paraId="57FA53AE" w14:textId="7BCDA8FD" w:rsidR="005E33BB" w:rsidRPr="00E213A8" w:rsidRDefault="008F58AC" w:rsidP="008B48D6">
            <w:pPr>
              <w:ind w:left="36" w:right="320"/>
              <w:jc w:val="both"/>
              <w:rPr>
                <w:lang w:val="en-US"/>
              </w:rPr>
            </w:pPr>
            <w:r>
              <w:t>The issue raised is an international affair and not the role of Council to be involved in these types of discussions.</w:t>
            </w:r>
          </w:p>
        </w:tc>
      </w:tr>
      <w:tr w:rsidR="00E213A8" w14:paraId="258B9E96" w14:textId="77777777" w:rsidTr="008B48D6">
        <w:tc>
          <w:tcPr>
            <w:tcW w:w="2263" w:type="dxa"/>
          </w:tcPr>
          <w:p w14:paraId="11580FB2" w14:textId="77777777" w:rsidR="00E213A8" w:rsidRPr="003A6076" w:rsidRDefault="00E213A8" w:rsidP="00FF6B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of</w:t>
            </w:r>
            <w:r w:rsidR="00E1652B">
              <w:rPr>
                <w:b/>
                <w:lang w:val="en-US"/>
              </w:rPr>
              <w:t xml:space="preserve"> required</w:t>
            </w:r>
            <w:r>
              <w:rPr>
                <w:b/>
                <w:lang w:val="en-US"/>
              </w:rPr>
              <w:t xml:space="preserve"> Elec</w:t>
            </w:r>
            <w:r w:rsidR="00E1652B">
              <w:rPr>
                <w:b/>
                <w:lang w:val="en-US"/>
              </w:rPr>
              <w:t>ted members met?</w:t>
            </w:r>
            <w:r>
              <w:rPr>
                <w:b/>
                <w:lang w:val="en-US"/>
              </w:rPr>
              <w:t xml:space="preserve"> </w:t>
            </w:r>
            <w:r w:rsidR="00E1652B">
              <w:rPr>
                <w:b/>
                <w:lang w:val="en-US"/>
              </w:rPr>
              <w:t>(</w:t>
            </w:r>
            <w:r w:rsidR="00FF6B75">
              <w:rPr>
                <w:b/>
                <w:lang w:val="en-US"/>
              </w:rPr>
              <w:t>1 with signature</w:t>
            </w:r>
            <w:r w:rsidR="004B53F4">
              <w:rPr>
                <w:b/>
                <w:lang w:val="en-US"/>
              </w:rPr>
              <w:t>)</w:t>
            </w:r>
            <w:r w:rsidR="00FF6B75">
              <w:rPr>
                <w:b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7A5EE532" w14:textId="5B6D7A35" w:rsidR="00E213A8" w:rsidRPr="00E213A8" w:rsidRDefault="008F58AC" w:rsidP="00E213A8">
            <w:pPr>
              <w:ind w:right="320"/>
              <w:jc w:val="both"/>
              <w:rPr>
                <w:lang w:val="en-US"/>
              </w:rPr>
            </w:pPr>
            <w:r>
              <w:rPr>
                <w:lang w:val="en-US"/>
              </w:rPr>
              <w:t>Yes – signature of mover Cr Kereopa provided</w:t>
            </w:r>
          </w:p>
        </w:tc>
      </w:tr>
      <w:tr w:rsidR="00167022" w14:paraId="30E3550F" w14:textId="77777777" w:rsidTr="008B48D6">
        <w:tc>
          <w:tcPr>
            <w:tcW w:w="2263" w:type="dxa"/>
          </w:tcPr>
          <w:p w14:paraId="784F97DC" w14:textId="77777777" w:rsidR="00167022" w:rsidRPr="003A6076" w:rsidRDefault="00167022" w:rsidP="001670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Recommendation based on assessment of Notice of Motion</w:t>
            </w:r>
          </w:p>
        </w:tc>
        <w:tc>
          <w:tcPr>
            <w:tcW w:w="7229" w:type="dxa"/>
          </w:tcPr>
          <w:p w14:paraId="2081DC0B" w14:textId="45302305" w:rsidR="002B2657" w:rsidRPr="00E213A8" w:rsidRDefault="002B2657" w:rsidP="00E977C6">
            <w:pPr>
              <w:ind w:right="320"/>
              <w:jc w:val="both"/>
              <w:rPr>
                <w:lang w:val="en-US"/>
              </w:rPr>
            </w:pPr>
            <w:r>
              <w:rPr>
                <w:lang w:val="en-US"/>
              </w:rPr>
              <w:t>Decline the notice of motion</w:t>
            </w:r>
            <w:r w:rsidR="00600240">
              <w:rPr>
                <w:lang w:val="en-US"/>
              </w:rPr>
              <w:t xml:space="preserve">.  </w:t>
            </w:r>
            <w:r>
              <w:rPr>
                <w:lang w:val="en-US"/>
              </w:rPr>
              <w:t xml:space="preserve"> </w:t>
            </w:r>
          </w:p>
        </w:tc>
      </w:tr>
      <w:tr w:rsidR="00FF6B75" w14:paraId="44EB7640" w14:textId="77777777" w:rsidTr="008B48D6">
        <w:tc>
          <w:tcPr>
            <w:tcW w:w="2263" w:type="dxa"/>
          </w:tcPr>
          <w:p w14:paraId="1C42E9BB" w14:textId="77777777" w:rsidR="00FF6B75" w:rsidRDefault="00FF6B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Reason for refusal of notice of motion</w:t>
            </w:r>
          </w:p>
          <w:p w14:paraId="4E0D7723" w14:textId="2B9A0F07" w:rsidR="00FF6B75" w:rsidRDefault="00FF6B75">
            <w:pPr>
              <w:rPr>
                <w:b/>
                <w:lang w:val="en-US"/>
              </w:rPr>
            </w:pPr>
          </w:p>
        </w:tc>
        <w:tc>
          <w:tcPr>
            <w:tcW w:w="7229" w:type="dxa"/>
          </w:tcPr>
          <w:p w14:paraId="5D7457DC" w14:textId="6A512433" w:rsidR="00600240" w:rsidRPr="00A736B6" w:rsidRDefault="008F58AC" w:rsidP="004B53F4">
            <w:pPr>
              <w:ind w:right="320"/>
              <w:jc w:val="both"/>
              <w:rPr>
                <w:rFonts w:cstheme="minorHAnsi"/>
                <w:lang w:val="en-US"/>
              </w:rPr>
            </w:pPr>
            <w:r w:rsidRPr="00A736B6">
              <w:rPr>
                <w:rFonts w:cstheme="minorHAnsi"/>
                <w:lang w:val="en-US"/>
              </w:rPr>
              <w:t xml:space="preserve">Standing order 27.2 </w:t>
            </w:r>
            <w:r w:rsidR="007A4C6D" w:rsidRPr="00A736B6">
              <w:rPr>
                <w:rFonts w:cstheme="minorHAnsi"/>
                <w:lang w:val="en-US"/>
              </w:rPr>
              <w:t xml:space="preserve">(b) </w:t>
            </w:r>
          </w:p>
          <w:p w14:paraId="2F088746" w14:textId="77777777" w:rsidR="007A4C6D" w:rsidRPr="00A736B6" w:rsidRDefault="007A4C6D" w:rsidP="007A4C6D">
            <w:pPr>
              <w:ind w:right="320"/>
              <w:jc w:val="both"/>
              <w:rPr>
                <w:rFonts w:cstheme="minorHAnsi"/>
              </w:rPr>
            </w:pPr>
            <w:r w:rsidRPr="00A736B6">
              <w:rPr>
                <w:rFonts w:cstheme="minorHAnsi"/>
                <w:lang w:val="en-US"/>
              </w:rPr>
              <w:t xml:space="preserve">The issues raised in the notice of motion is </w:t>
            </w:r>
            <w:r w:rsidRPr="00A736B6">
              <w:rPr>
                <w:rFonts w:cstheme="minorHAnsi"/>
              </w:rPr>
              <w:t xml:space="preserve">not related to the role or functions </w:t>
            </w:r>
            <w:r w:rsidRPr="00A736B6">
              <w:rPr>
                <w:rFonts w:cstheme="minorHAnsi"/>
                <w:spacing w:val="1"/>
              </w:rPr>
              <w:t>of</w:t>
            </w:r>
            <w:r w:rsidRPr="00A736B6">
              <w:rPr>
                <w:rFonts w:cstheme="minorHAnsi"/>
                <w:spacing w:val="61"/>
              </w:rPr>
              <w:t xml:space="preserve"> </w:t>
            </w:r>
            <w:r w:rsidRPr="00A736B6">
              <w:rPr>
                <w:rFonts w:cstheme="minorHAnsi"/>
              </w:rPr>
              <w:t>the</w:t>
            </w:r>
            <w:r w:rsidRPr="00A736B6">
              <w:rPr>
                <w:rFonts w:cstheme="minorHAnsi"/>
                <w:spacing w:val="2"/>
              </w:rPr>
              <w:t xml:space="preserve"> </w:t>
            </w:r>
            <w:r w:rsidRPr="00A736B6">
              <w:rPr>
                <w:rFonts w:cstheme="minorHAnsi"/>
              </w:rPr>
              <w:t>local</w:t>
            </w:r>
            <w:r w:rsidRPr="00A736B6">
              <w:rPr>
                <w:rFonts w:cstheme="minorHAnsi"/>
                <w:spacing w:val="29"/>
                <w:w w:val="99"/>
              </w:rPr>
              <w:t xml:space="preserve"> </w:t>
            </w:r>
            <w:r w:rsidRPr="00A736B6">
              <w:rPr>
                <w:rFonts w:cstheme="minorHAnsi"/>
              </w:rPr>
              <w:t>authority or meeting concerned.</w:t>
            </w:r>
          </w:p>
          <w:p w14:paraId="58BE1C0A" w14:textId="77777777" w:rsidR="007A4C6D" w:rsidRPr="00A736B6" w:rsidRDefault="007A4C6D" w:rsidP="007A4C6D">
            <w:pPr>
              <w:ind w:right="320"/>
              <w:jc w:val="both"/>
              <w:rPr>
                <w:rFonts w:cstheme="minorHAnsi"/>
              </w:rPr>
            </w:pPr>
          </w:p>
          <w:p w14:paraId="00B6F3E1" w14:textId="7CD4965E" w:rsidR="007A4C6D" w:rsidRPr="00A736B6" w:rsidRDefault="007A4C6D" w:rsidP="007A4C6D">
            <w:pPr>
              <w:ind w:right="320"/>
              <w:jc w:val="both"/>
              <w:rPr>
                <w:rFonts w:cstheme="minorHAnsi"/>
              </w:rPr>
            </w:pPr>
            <w:r w:rsidRPr="00A736B6">
              <w:rPr>
                <w:rFonts w:cstheme="minorHAnsi"/>
              </w:rPr>
              <w:t>In addition,</w:t>
            </w:r>
          </w:p>
          <w:p w14:paraId="58608AB3" w14:textId="77777777" w:rsidR="007A4C6D" w:rsidRPr="00A736B6" w:rsidRDefault="007A4C6D" w:rsidP="007A4C6D">
            <w:pPr>
              <w:ind w:right="320"/>
              <w:jc w:val="both"/>
              <w:rPr>
                <w:rFonts w:cstheme="minorHAnsi"/>
                <w:lang w:val="en-US"/>
              </w:rPr>
            </w:pPr>
          </w:p>
          <w:p w14:paraId="33DA06FD" w14:textId="77777777" w:rsidR="00A736B6" w:rsidRPr="00A736B6" w:rsidRDefault="007A4C6D" w:rsidP="007A4C6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73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Councillors</w:t>
            </w:r>
            <w:proofErr w:type="spellEnd"/>
            <w:r w:rsidRPr="00A73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have previously been provided with updates on correspondence that has been received from the group referred </w:t>
            </w:r>
            <w:proofErr w:type="gramStart"/>
            <w:r w:rsidRPr="00A73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 </w:t>
            </w:r>
            <w:r w:rsidRPr="00A736B6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proofErr w:type="spellStart"/>
            <w:r w:rsidRPr="00A736B6">
              <w:rPr>
                <w:rFonts w:asciiTheme="minorHAnsi" w:hAnsiTheme="minorHAnsi" w:cstheme="minorHAnsi"/>
                <w:sz w:val="22"/>
                <w:szCs w:val="22"/>
              </w:rPr>
              <w:t>Mataara</w:t>
            </w:r>
            <w:proofErr w:type="spellEnd"/>
            <w:proofErr w:type="gramEnd"/>
            <w:r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 Mai’</w:t>
            </w:r>
            <w:r w:rsidR="00A736B6"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.  Council’s response to the group is that </w:t>
            </w:r>
            <w:r w:rsidR="00A736B6" w:rsidRPr="00A73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Council </w:t>
            </w:r>
            <w:r w:rsidRPr="00A736B6">
              <w:rPr>
                <w:rFonts w:asciiTheme="minorHAnsi" w:hAnsiTheme="minorHAnsi" w:cstheme="minorHAnsi"/>
                <w:sz w:val="22"/>
                <w:szCs w:val="22"/>
              </w:rPr>
              <w:t>appreciate</w:t>
            </w:r>
            <w:r w:rsidR="00A736B6" w:rsidRPr="00A736B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 the importance of their correspondence and strong advocacy for the people of Palestine</w:t>
            </w:r>
            <w:r w:rsidR="00A736B6"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 and that Council will </w:t>
            </w:r>
            <w:r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pass on their message to Government officials who have the ability to influence this situation. </w:t>
            </w:r>
          </w:p>
          <w:p w14:paraId="2BC488F3" w14:textId="77777777" w:rsidR="00A736B6" w:rsidRPr="00A736B6" w:rsidRDefault="00A736B6" w:rsidP="007A4C6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67647" w14:textId="3DD7FA2F" w:rsidR="00A736B6" w:rsidRPr="00A736B6" w:rsidRDefault="00A736B6" w:rsidP="00A736B6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Council has considered this request and are not able to accept a notice of motion or similar requesting a ceasefire </w:t>
            </w:r>
            <w:bookmarkStart w:id="0" w:name="_GoBack"/>
            <w:r w:rsidRPr="00A736B6">
              <w:rPr>
                <w:rFonts w:asciiTheme="minorHAnsi" w:hAnsiTheme="minorHAnsi" w:cstheme="minorHAnsi"/>
                <w:sz w:val="22"/>
                <w:szCs w:val="22"/>
              </w:rPr>
              <w:t>as it is not the role of Council to be involved in these types of international affairs, especially conflict.</w:t>
            </w:r>
          </w:p>
          <w:bookmarkEnd w:id="0"/>
          <w:p w14:paraId="3880EC06" w14:textId="106CC768" w:rsidR="007A4C6D" w:rsidRPr="00A736B6" w:rsidRDefault="00A736B6" w:rsidP="00A736B6">
            <w:pPr>
              <w:pStyle w:val="xmso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Subsequently, Councillors have been informed that this matter is in the hands of the Ministry of Foreign Affairs and Trade and that they have made </w:t>
            </w:r>
            <w:r w:rsidRPr="00A736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statements calling for a de-escalation (ceasefire), and Rt Hon Winston Peters has also recently done so: </w:t>
            </w:r>
            <w:hyperlink r:id="rId11" w:history="1">
              <w:r w:rsidRPr="00A736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Ceasefire agreement needed now: Peters | Beehive.govt.nz</w:t>
              </w:r>
            </w:hyperlink>
            <w:r w:rsidRPr="00A736B6">
              <w:rPr>
                <w:rFonts w:asciiTheme="minorHAnsi" w:hAnsiTheme="minorHAnsi" w:cstheme="minorHAnsi"/>
                <w:sz w:val="22"/>
                <w:szCs w:val="22"/>
              </w:rPr>
              <w:t xml:space="preserve">. Government Ministers/leaders are best placed to do this on behalf of New Zealand.   </w:t>
            </w:r>
          </w:p>
        </w:tc>
      </w:tr>
      <w:tr w:rsidR="004B53F4" w14:paraId="05EAB95C" w14:textId="77777777" w:rsidTr="008B48D6">
        <w:tc>
          <w:tcPr>
            <w:tcW w:w="2263" w:type="dxa"/>
          </w:tcPr>
          <w:p w14:paraId="182452EA" w14:textId="77777777" w:rsidR="004B53F4" w:rsidRDefault="004B53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G&amp;D assessment conducted by:</w:t>
            </w:r>
          </w:p>
        </w:tc>
        <w:tc>
          <w:tcPr>
            <w:tcW w:w="7229" w:type="dxa"/>
          </w:tcPr>
          <w:p w14:paraId="448D906F" w14:textId="5FCC9E5E" w:rsidR="004B53F4" w:rsidRDefault="004B53F4" w:rsidP="00637604">
            <w:pPr>
              <w:ind w:right="320"/>
              <w:jc w:val="both"/>
              <w:rPr>
                <w:lang w:val="en-US"/>
              </w:rPr>
            </w:pPr>
            <w:r>
              <w:rPr>
                <w:lang w:val="en-US"/>
              </w:rPr>
              <w:t>Oonagh Hopkins</w:t>
            </w:r>
            <w:r w:rsidR="00AC76DB">
              <w:rPr>
                <w:lang w:val="en-US"/>
              </w:rPr>
              <w:t xml:space="preserve"> – </w:t>
            </w:r>
            <w:r w:rsidR="00A736B6">
              <w:rPr>
                <w:lang w:val="en-US"/>
              </w:rPr>
              <w:t>1</w:t>
            </w:r>
            <w:r w:rsidR="00A057B2">
              <w:rPr>
                <w:lang w:val="en-US"/>
              </w:rPr>
              <w:t>6</w:t>
            </w:r>
            <w:r w:rsidR="00A736B6">
              <w:rPr>
                <w:lang w:val="en-US"/>
              </w:rPr>
              <w:t xml:space="preserve"> July </w:t>
            </w:r>
            <w:r w:rsidR="00AC76DB">
              <w:rPr>
                <w:lang w:val="en-US"/>
              </w:rPr>
              <w:t>2024.</w:t>
            </w:r>
          </w:p>
        </w:tc>
      </w:tr>
      <w:tr w:rsidR="00B67307" w14:paraId="660F6586" w14:textId="77777777" w:rsidTr="008B48D6">
        <w:tc>
          <w:tcPr>
            <w:tcW w:w="2263" w:type="dxa"/>
          </w:tcPr>
          <w:p w14:paraId="18D5B965" w14:textId="77777777" w:rsidR="00B67307" w:rsidRPr="003A6076" w:rsidRDefault="00AC76DB" w:rsidP="00AC76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Approved </w:t>
            </w:r>
            <w:r w:rsidR="00167022">
              <w:rPr>
                <w:b/>
                <w:lang w:val="en-US"/>
              </w:rPr>
              <w:t>by:</w:t>
            </w:r>
            <w:r w:rsidR="00167022">
              <w:rPr>
                <w:b/>
                <w:lang w:val="en-US"/>
              </w:rPr>
              <w:br/>
            </w:r>
            <w:r>
              <w:rPr>
                <w:b/>
                <w:lang w:val="en-US"/>
              </w:rPr>
              <w:t>(</w:t>
            </w:r>
            <w:r w:rsidR="00167022">
              <w:rPr>
                <w:b/>
                <w:lang w:val="en-US"/>
              </w:rPr>
              <w:t>Name of chair and committee name</w:t>
            </w:r>
            <w:r>
              <w:rPr>
                <w:b/>
                <w:lang w:val="en-US"/>
              </w:rPr>
              <w:t>)</w:t>
            </w:r>
            <w:r w:rsidR="00167022">
              <w:rPr>
                <w:b/>
                <w:lang w:val="en-US"/>
              </w:rPr>
              <w:t>.</w:t>
            </w:r>
          </w:p>
        </w:tc>
        <w:tc>
          <w:tcPr>
            <w:tcW w:w="7229" w:type="dxa"/>
          </w:tcPr>
          <w:p w14:paraId="14A830DE" w14:textId="77777777" w:rsidR="005E33BB" w:rsidRDefault="00233AB7" w:rsidP="008B48D6">
            <w:r>
              <w:t>Tania Tapsell</w:t>
            </w:r>
          </w:p>
          <w:p w14:paraId="6A11C20C" w14:textId="77777777" w:rsidR="00233AB7" w:rsidRDefault="00233AB7" w:rsidP="008B48D6">
            <w:r>
              <w:t>Mayor</w:t>
            </w:r>
          </w:p>
          <w:p w14:paraId="5A36094B" w14:textId="7AFA69C6" w:rsidR="00233AB7" w:rsidRPr="003A6076" w:rsidRDefault="00233AB7" w:rsidP="008B48D6">
            <w:r>
              <w:t>Chair of Council</w:t>
            </w:r>
          </w:p>
        </w:tc>
      </w:tr>
      <w:tr w:rsidR="00B67307" w14:paraId="621CB1A7" w14:textId="77777777" w:rsidTr="008B48D6">
        <w:tc>
          <w:tcPr>
            <w:tcW w:w="2263" w:type="dxa"/>
          </w:tcPr>
          <w:p w14:paraId="77B6B95E" w14:textId="77777777" w:rsidR="00B67307" w:rsidRPr="003A6076" w:rsidRDefault="00B67307">
            <w:pPr>
              <w:rPr>
                <w:b/>
                <w:lang w:val="en-US"/>
              </w:rPr>
            </w:pPr>
          </w:p>
        </w:tc>
        <w:tc>
          <w:tcPr>
            <w:tcW w:w="7229" w:type="dxa"/>
          </w:tcPr>
          <w:p w14:paraId="37F2365F" w14:textId="77777777" w:rsidR="00B67307" w:rsidRPr="003A6076" w:rsidRDefault="00B67307" w:rsidP="008B48D6"/>
        </w:tc>
      </w:tr>
    </w:tbl>
    <w:p w14:paraId="01D83707" w14:textId="77777777" w:rsidR="008B48D6" w:rsidRDefault="008B48D6">
      <w:pPr>
        <w:rPr>
          <w:lang w:val="en-US"/>
        </w:rPr>
      </w:pPr>
    </w:p>
    <w:p w14:paraId="5EC3B579" w14:textId="77777777" w:rsidR="00D47BBC" w:rsidRDefault="00D47BBC">
      <w:pPr>
        <w:rPr>
          <w:lang w:val="en-US"/>
        </w:rPr>
      </w:pPr>
    </w:p>
    <w:p w14:paraId="7FF58FE4" w14:textId="719172E6" w:rsidR="0069585C" w:rsidRDefault="00D47BBC">
      <w:pPr>
        <w:rPr>
          <w:lang w:val="en-US"/>
        </w:rPr>
      </w:pPr>
      <w:r>
        <w:rPr>
          <w:lang w:val="en-US"/>
        </w:rPr>
        <w:t xml:space="preserve">Attachment – Cr </w:t>
      </w:r>
      <w:r w:rsidR="00A736B6">
        <w:rPr>
          <w:lang w:val="en-US"/>
        </w:rPr>
        <w:t>Kereopa Notice of Motion</w:t>
      </w:r>
    </w:p>
    <w:p w14:paraId="68BB2A26" w14:textId="6F4CF128" w:rsidR="00A057B2" w:rsidRDefault="00A057B2">
      <w:pPr>
        <w:rPr>
          <w:lang w:val="en-US"/>
        </w:rPr>
      </w:pPr>
      <w:r>
        <w:rPr>
          <w:lang w:val="en-US"/>
        </w:rPr>
        <w:br w:type="page"/>
      </w:r>
    </w:p>
    <w:p w14:paraId="75CC874F" w14:textId="1DE0452A" w:rsidR="00A057B2" w:rsidRDefault="00A057B2">
      <w:pPr>
        <w:rPr>
          <w:lang w:val="en-US"/>
        </w:rPr>
      </w:pPr>
      <w:r w:rsidRPr="00A057B2">
        <w:rPr>
          <w:noProof/>
          <w:lang w:eastAsia="en-NZ"/>
        </w:rPr>
        <w:lastRenderedPageBreak/>
        <w:drawing>
          <wp:inline distT="0" distB="0" distL="0" distR="0" wp14:anchorId="3FCA28AF" wp14:editId="73F47112">
            <wp:extent cx="4961050" cy="6454699"/>
            <wp:effectExtent l="0" t="0" r="0" b="3810"/>
            <wp:docPr id="1343818805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18805" name="Picture 1" descr="A document with text and numb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64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E13FE" w14:textId="426FE499" w:rsidR="0069585C" w:rsidRDefault="0069585C">
      <w:pPr>
        <w:rPr>
          <w:lang w:val="en-US"/>
        </w:rPr>
      </w:pPr>
    </w:p>
    <w:p w14:paraId="6D71BBFB" w14:textId="77777777" w:rsidR="00D47BBC" w:rsidRDefault="00D47BBC">
      <w:pPr>
        <w:rPr>
          <w:lang w:val="en-US"/>
        </w:rPr>
      </w:pPr>
    </w:p>
    <w:p w14:paraId="3F457BAD" w14:textId="77777777" w:rsidR="00D47BBC" w:rsidRDefault="00D47BBC">
      <w:pPr>
        <w:rPr>
          <w:lang w:val="en-US"/>
        </w:rPr>
      </w:pPr>
    </w:p>
    <w:p w14:paraId="67A68079" w14:textId="77777777" w:rsidR="00D47BBC" w:rsidRDefault="00D47BBC">
      <w:pPr>
        <w:rPr>
          <w:lang w:val="en-US"/>
        </w:rPr>
      </w:pPr>
    </w:p>
    <w:p w14:paraId="799B9FFC" w14:textId="5491F9AB" w:rsidR="00AC76DB" w:rsidRDefault="00AC76DB">
      <w:pPr>
        <w:rPr>
          <w:lang w:val="en-US"/>
        </w:rPr>
      </w:pPr>
    </w:p>
    <w:p w14:paraId="62557451" w14:textId="77777777" w:rsidR="00AC76DB" w:rsidRDefault="00AC76DB" w:rsidP="00AC76DB">
      <w:pPr>
        <w:rPr>
          <w:lang w:val="en-US"/>
        </w:rPr>
      </w:pPr>
    </w:p>
    <w:p w14:paraId="035C2551" w14:textId="59A1A802" w:rsidR="00D47BBC" w:rsidRDefault="00D47BBC" w:rsidP="00AC76DB">
      <w:pPr>
        <w:rPr>
          <w:lang w:val="en-US"/>
        </w:rPr>
      </w:pPr>
    </w:p>
    <w:p w14:paraId="01103865" w14:textId="77777777" w:rsidR="00AC76DB" w:rsidRDefault="00AC76DB" w:rsidP="00AC76DB">
      <w:pPr>
        <w:rPr>
          <w:lang w:val="en-US"/>
        </w:rPr>
      </w:pPr>
    </w:p>
    <w:p w14:paraId="6650355C" w14:textId="1082E0B2" w:rsidR="00AC76DB" w:rsidRDefault="00A057B2" w:rsidP="00AC76DB">
      <w:pPr>
        <w:rPr>
          <w:lang w:val="en-US"/>
        </w:rPr>
      </w:pPr>
      <w:r w:rsidRPr="00A057B2">
        <w:rPr>
          <w:noProof/>
          <w:lang w:eastAsia="en-NZ"/>
        </w:rPr>
        <w:lastRenderedPageBreak/>
        <w:drawing>
          <wp:inline distT="0" distB="0" distL="0" distR="0" wp14:anchorId="07F2BA26" wp14:editId="05DC011A">
            <wp:extent cx="4267570" cy="6248942"/>
            <wp:effectExtent l="0" t="0" r="0" b="0"/>
            <wp:docPr id="733914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1418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570" cy="62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A0C15" w14:textId="77777777" w:rsidR="00A057B2" w:rsidRDefault="00A057B2" w:rsidP="00AC76DB">
      <w:pPr>
        <w:rPr>
          <w:lang w:val="en-US"/>
        </w:rPr>
      </w:pPr>
    </w:p>
    <w:p w14:paraId="4B502B3D" w14:textId="5D97A038" w:rsidR="00A057B2" w:rsidRDefault="00A057B2">
      <w:pPr>
        <w:rPr>
          <w:lang w:val="en-US"/>
        </w:rPr>
      </w:pPr>
      <w:r>
        <w:rPr>
          <w:lang w:val="en-US"/>
        </w:rPr>
        <w:br w:type="page"/>
      </w:r>
    </w:p>
    <w:p w14:paraId="1CEA751D" w14:textId="6B495644" w:rsidR="00A057B2" w:rsidRDefault="00A057B2" w:rsidP="00AC76DB">
      <w:pPr>
        <w:rPr>
          <w:lang w:val="en-US"/>
        </w:rPr>
      </w:pPr>
      <w:r w:rsidRPr="00A057B2">
        <w:rPr>
          <w:noProof/>
          <w:lang w:eastAsia="en-NZ"/>
        </w:rPr>
        <w:lastRenderedPageBreak/>
        <w:drawing>
          <wp:inline distT="0" distB="0" distL="0" distR="0" wp14:anchorId="777F62D7" wp14:editId="2A991074">
            <wp:extent cx="4465707" cy="6302286"/>
            <wp:effectExtent l="0" t="0" r="0" b="3810"/>
            <wp:docPr id="203306791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67919" name="Picture 1" descr="A close-up of a docu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5707" cy="630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A9DD" w14:textId="77777777" w:rsidR="00A057B2" w:rsidRDefault="00A057B2" w:rsidP="00AC76DB">
      <w:pPr>
        <w:rPr>
          <w:lang w:val="en-US"/>
        </w:rPr>
      </w:pPr>
    </w:p>
    <w:p w14:paraId="1296316C" w14:textId="26F2B867" w:rsidR="00A057B2" w:rsidRDefault="00A057B2">
      <w:pPr>
        <w:rPr>
          <w:lang w:val="en-US"/>
        </w:rPr>
      </w:pPr>
      <w:r>
        <w:rPr>
          <w:lang w:val="en-US"/>
        </w:rPr>
        <w:br w:type="page"/>
      </w:r>
    </w:p>
    <w:p w14:paraId="48991BC9" w14:textId="6C75782B" w:rsidR="00A057B2" w:rsidRDefault="00A057B2" w:rsidP="00AC76DB">
      <w:pPr>
        <w:rPr>
          <w:lang w:val="en-US"/>
        </w:rPr>
      </w:pPr>
      <w:r w:rsidRPr="00A057B2">
        <w:rPr>
          <w:noProof/>
          <w:lang w:eastAsia="en-NZ"/>
        </w:rPr>
        <w:lastRenderedPageBreak/>
        <w:drawing>
          <wp:inline distT="0" distB="0" distL="0" distR="0" wp14:anchorId="719001CE" wp14:editId="332BC851">
            <wp:extent cx="4427604" cy="3558848"/>
            <wp:effectExtent l="0" t="0" r="0" b="3810"/>
            <wp:docPr id="265542732" name="Picture 1" descr="A document with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42732" name="Picture 1" descr="A document with a signatur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35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ECE1" w14:textId="77777777" w:rsidR="00AC76DB" w:rsidRDefault="00AC76DB" w:rsidP="00AC76DB">
      <w:pPr>
        <w:rPr>
          <w:lang w:val="en-US"/>
        </w:rPr>
      </w:pPr>
    </w:p>
    <w:p w14:paraId="005B4C9C" w14:textId="77777777" w:rsidR="00AC76DB" w:rsidRDefault="00AC76DB" w:rsidP="00AC76DB">
      <w:pPr>
        <w:rPr>
          <w:lang w:val="en-US"/>
        </w:rPr>
      </w:pPr>
    </w:p>
    <w:p w14:paraId="49969A1E" w14:textId="77777777" w:rsidR="00AC76DB" w:rsidRDefault="00AC76DB" w:rsidP="00AC76DB">
      <w:pPr>
        <w:rPr>
          <w:lang w:val="en-US"/>
        </w:rPr>
      </w:pPr>
    </w:p>
    <w:p w14:paraId="31A35980" w14:textId="77777777" w:rsidR="00AC76DB" w:rsidRDefault="00AC76DB" w:rsidP="00AC76DB">
      <w:pPr>
        <w:rPr>
          <w:lang w:val="en-US"/>
        </w:rPr>
      </w:pPr>
    </w:p>
    <w:p w14:paraId="62AD5B3D" w14:textId="29B73A2E" w:rsidR="00AC76DB" w:rsidRPr="00AC76DB" w:rsidRDefault="00AC76DB" w:rsidP="00AC76DB">
      <w:pPr>
        <w:rPr>
          <w:lang w:val="en-US"/>
        </w:rPr>
      </w:pPr>
    </w:p>
    <w:sectPr w:rsidR="00AC76DB" w:rsidRPr="00AC76DB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B1C46" w14:textId="77777777" w:rsidR="00263BD6" w:rsidRDefault="00263BD6" w:rsidP="008B48D6">
      <w:pPr>
        <w:spacing w:after="0" w:line="240" w:lineRule="auto"/>
      </w:pPr>
      <w:r>
        <w:separator/>
      </w:r>
    </w:p>
  </w:endnote>
  <w:endnote w:type="continuationSeparator" w:id="0">
    <w:p w14:paraId="0E622639" w14:textId="77777777" w:rsidR="00263BD6" w:rsidRDefault="00263BD6" w:rsidP="008B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B870C" w14:textId="77777777" w:rsidR="00263BD6" w:rsidRDefault="00263BD6" w:rsidP="008B48D6">
      <w:pPr>
        <w:spacing w:after="0" w:line="240" w:lineRule="auto"/>
      </w:pPr>
      <w:r>
        <w:separator/>
      </w:r>
    </w:p>
  </w:footnote>
  <w:footnote w:type="continuationSeparator" w:id="0">
    <w:p w14:paraId="1B4E4D16" w14:textId="77777777" w:rsidR="00263BD6" w:rsidRDefault="00263BD6" w:rsidP="008B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5A21" w14:textId="1C10F327" w:rsidR="00B67307" w:rsidRPr="00D35BDE" w:rsidRDefault="00D35BDE">
    <w:pPr>
      <w:pStyle w:val="Header"/>
      <w:rPr>
        <w:lang w:val="mi-NZ"/>
      </w:rPr>
    </w:pPr>
    <w:r>
      <w:rPr>
        <w:lang w:val="mi-NZ"/>
      </w:rPr>
      <w:t xml:space="preserve">Doc id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316EF"/>
    <w:multiLevelType w:val="hybridMultilevel"/>
    <w:tmpl w:val="47C01DC4"/>
    <w:lvl w:ilvl="0" w:tplc="468E1C0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16" w:hanging="360"/>
      </w:pPr>
    </w:lvl>
    <w:lvl w:ilvl="2" w:tplc="1409001B" w:tentative="1">
      <w:start w:val="1"/>
      <w:numFmt w:val="lowerRoman"/>
      <w:lvlText w:val="%3."/>
      <w:lvlJc w:val="right"/>
      <w:pPr>
        <w:ind w:left="1836" w:hanging="180"/>
      </w:pPr>
    </w:lvl>
    <w:lvl w:ilvl="3" w:tplc="1409000F" w:tentative="1">
      <w:start w:val="1"/>
      <w:numFmt w:val="decimal"/>
      <w:lvlText w:val="%4."/>
      <w:lvlJc w:val="left"/>
      <w:pPr>
        <w:ind w:left="2556" w:hanging="360"/>
      </w:pPr>
    </w:lvl>
    <w:lvl w:ilvl="4" w:tplc="14090019" w:tentative="1">
      <w:start w:val="1"/>
      <w:numFmt w:val="lowerLetter"/>
      <w:lvlText w:val="%5."/>
      <w:lvlJc w:val="left"/>
      <w:pPr>
        <w:ind w:left="3276" w:hanging="360"/>
      </w:pPr>
    </w:lvl>
    <w:lvl w:ilvl="5" w:tplc="1409001B" w:tentative="1">
      <w:start w:val="1"/>
      <w:numFmt w:val="lowerRoman"/>
      <w:lvlText w:val="%6."/>
      <w:lvlJc w:val="right"/>
      <w:pPr>
        <w:ind w:left="3996" w:hanging="180"/>
      </w:pPr>
    </w:lvl>
    <w:lvl w:ilvl="6" w:tplc="1409000F" w:tentative="1">
      <w:start w:val="1"/>
      <w:numFmt w:val="decimal"/>
      <w:lvlText w:val="%7."/>
      <w:lvlJc w:val="left"/>
      <w:pPr>
        <w:ind w:left="4716" w:hanging="360"/>
      </w:pPr>
    </w:lvl>
    <w:lvl w:ilvl="7" w:tplc="14090019" w:tentative="1">
      <w:start w:val="1"/>
      <w:numFmt w:val="lowerLetter"/>
      <w:lvlText w:val="%8."/>
      <w:lvlJc w:val="left"/>
      <w:pPr>
        <w:ind w:left="5436" w:hanging="360"/>
      </w:pPr>
    </w:lvl>
    <w:lvl w:ilvl="8" w:tplc="1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6"/>
    <w:rsid w:val="00027B8B"/>
    <w:rsid w:val="000327DA"/>
    <w:rsid w:val="00102D01"/>
    <w:rsid w:val="00157F66"/>
    <w:rsid w:val="0016244C"/>
    <w:rsid w:val="00167022"/>
    <w:rsid w:val="00233AB7"/>
    <w:rsid w:val="00263BD6"/>
    <w:rsid w:val="002A342A"/>
    <w:rsid w:val="002B2657"/>
    <w:rsid w:val="003713B5"/>
    <w:rsid w:val="003A6076"/>
    <w:rsid w:val="003F0811"/>
    <w:rsid w:val="004804A9"/>
    <w:rsid w:val="004A0CDE"/>
    <w:rsid w:val="004B53F4"/>
    <w:rsid w:val="00513113"/>
    <w:rsid w:val="005E33BB"/>
    <w:rsid w:val="005F1C70"/>
    <w:rsid w:val="00600240"/>
    <w:rsid w:val="00610306"/>
    <w:rsid w:val="00620336"/>
    <w:rsid w:val="006344B0"/>
    <w:rsid w:val="00637604"/>
    <w:rsid w:val="0069585C"/>
    <w:rsid w:val="006A7207"/>
    <w:rsid w:val="006D0ACD"/>
    <w:rsid w:val="007A4C6D"/>
    <w:rsid w:val="0085795E"/>
    <w:rsid w:val="0087301E"/>
    <w:rsid w:val="008B48D6"/>
    <w:rsid w:val="008E0BF6"/>
    <w:rsid w:val="008F58AC"/>
    <w:rsid w:val="009D4C98"/>
    <w:rsid w:val="00A057B2"/>
    <w:rsid w:val="00A736B6"/>
    <w:rsid w:val="00A75824"/>
    <w:rsid w:val="00AC76DB"/>
    <w:rsid w:val="00B60220"/>
    <w:rsid w:val="00B67307"/>
    <w:rsid w:val="00B9392F"/>
    <w:rsid w:val="00C623A4"/>
    <w:rsid w:val="00D13FA9"/>
    <w:rsid w:val="00D35BDE"/>
    <w:rsid w:val="00D47BBC"/>
    <w:rsid w:val="00D91DAA"/>
    <w:rsid w:val="00DC68E4"/>
    <w:rsid w:val="00E03850"/>
    <w:rsid w:val="00E1652B"/>
    <w:rsid w:val="00E213A8"/>
    <w:rsid w:val="00E977C6"/>
    <w:rsid w:val="00F51EAD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DD046"/>
  <w15:chartTrackingRefBased/>
  <w15:docId w15:val="{FFD16718-4BAC-459C-8851-81261B5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D6"/>
  </w:style>
  <w:style w:type="paragraph" w:styleId="Footer">
    <w:name w:val="footer"/>
    <w:basedOn w:val="Normal"/>
    <w:link w:val="FooterChar"/>
    <w:uiPriority w:val="99"/>
    <w:unhideWhenUsed/>
    <w:rsid w:val="008B4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D6"/>
  </w:style>
  <w:style w:type="table" w:styleId="TableGrid">
    <w:name w:val="Table Grid"/>
    <w:basedOn w:val="TableNormal"/>
    <w:uiPriority w:val="39"/>
    <w:rsid w:val="008B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B67307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tLeast"/>
      <w:ind w:left="2268" w:hanging="2268"/>
      <w:jc w:val="both"/>
    </w:pPr>
    <w:rPr>
      <w:rFonts w:ascii="Helvetica" w:eastAsia="Times New Roman" w:hAnsi="Helvetica" w:cs="Helvetica"/>
      <w:color w:val="000000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657"/>
    <w:pPr>
      <w:ind w:left="720"/>
      <w:contextualSpacing/>
    </w:pPr>
  </w:style>
  <w:style w:type="paragraph" w:customStyle="1" w:styleId="xmsonormal">
    <w:name w:val="x_msonormal"/>
    <w:basedOn w:val="Normal"/>
    <w:rsid w:val="007A4C6D"/>
    <w:pPr>
      <w:spacing w:after="0" w:line="240" w:lineRule="auto"/>
    </w:pPr>
    <w:rPr>
      <w:rFonts w:ascii="Aptos" w:hAnsi="Aptos" w:cs="Aptos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A73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ehive.govt.nz/release/ceasefire-agreement-needed-now-peter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9331677EEA94C8C2530814E9B1983" ma:contentTypeVersion="9" ma:contentTypeDescription="Create a new document." ma:contentTypeScope="" ma:versionID="c6dde8a090d112a833226234edc9e2cb">
  <xsd:schema xmlns:xsd="http://www.w3.org/2001/XMLSchema" xmlns:xs="http://www.w3.org/2001/XMLSchema" xmlns:p="http://schemas.microsoft.com/office/2006/metadata/properties" xmlns:ns3="619d00ad-e3b8-4580-95b4-9d792f7fda11" targetNamespace="http://schemas.microsoft.com/office/2006/metadata/properties" ma:root="true" ma:fieldsID="2ec71b3d3ed27e685997a50978de5167" ns3:_="">
    <xsd:import namespace="619d00ad-e3b8-4580-95b4-9d792f7fd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d00ad-e3b8-4580-95b4-9d792f7f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676201-AF60-44FE-A56B-E10D3ECF0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d00ad-e3b8-4580-95b4-9d792f7fd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739E1-71EB-45C9-AF0B-3C6052D8C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62DF2-8538-40C3-8DB1-C9F71A307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B307E-9CB0-405E-B71C-973C9B1A42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2331</Characters>
  <Application>Microsoft Office Word</Application>
  <DocSecurity>0</DocSecurity>
  <Lines>122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Rotorua Lakes Council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Hopkins</dc:creator>
  <cp:keywords/>
  <dc:description/>
  <cp:lastModifiedBy>Nikoletta Michael</cp:lastModifiedBy>
  <cp:revision>2</cp:revision>
  <cp:lastPrinted>2022-11-02T20:23:00Z</cp:lastPrinted>
  <dcterms:created xsi:type="dcterms:W3CDTF">2024-07-31T05:46:00Z</dcterms:created>
  <dcterms:modified xsi:type="dcterms:W3CDTF">2024-07-31T05:46:00Z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0x0101001CA9331677EEA94C8C2530814E9B1983</vt:lpwstr>
  </property>
</Properties>
</file>